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754F5" w14:textId="77777777" w:rsidR="00CF5A2E" w:rsidRPr="002F6C2D" w:rsidRDefault="002474F6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2F6C2D">
        <w:rPr>
          <w:rFonts w:ascii="Arial" w:eastAsia="Arial" w:hAnsi="Arial" w:cs="Arial"/>
          <w:b/>
          <w:sz w:val="22"/>
          <w:szCs w:val="22"/>
        </w:rPr>
        <w:t>ESPECIFICACIONES TÉCNICAS Y ADMINISTRATIVAS</w:t>
      </w:r>
    </w:p>
    <w:p w14:paraId="2413039D" w14:textId="63A4C8D0" w:rsidR="00CF5A2E" w:rsidRPr="002F6C2D" w:rsidRDefault="002474F6" w:rsidP="002F6C2D">
      <w:pPr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2F6C2D">
        <w:rPr>
          <w:rFonts w:ascii="Arial" w:eastAsia="Arial" w:hAnsi="Arial" w:cs="Arial"/>
          <w:b/>
          <w:sz w:val="22"/>
          <w:szCs w:val="22"/>
          <w:u w:val="single"/>
        </w:rPr>
        <w:t>COMPRA ÁGIL</w:t>
      </w:r>
    </w:p>
    <w:p w14:paraId="748AB7E9" w14:textId="7C83B431" w:rsidR="00CF5A2E" w:rsidRPr="002F6C2D" w:rsidRDefault="002F6C2D" w:rsidP="002F6C2D">
      <w:pPr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2F6C2D">
        <w:rPr>
          <w:rFonts w:ascii="Arial" w:eastAsia="Arial" w:hAnsi="Arial" w:cs="Arial"/>
          <w:b/>
          <w:sz w:val="22"/>
          <w:szCs w:val="22"/>
          <w:u w:val="single"/>
        </w:rPr>
        <w:t xml:space="preserve">Adquisición </w:t>
      </w:r>
      <w:r w:rsidRPr="002F6C2D">
        <w:rPr>
          <w:rFonts w:ascii="Arial" w:eastAsia="Arial" w:hAnsi="Arial" w:cs="Arial"/>
          <w:b/>
          <w:sz w:val="22"/>
          <w:szCs w:val="22"/>
          <w:u w:val="single"/>
          <w:lang w:val="es-CL"/>
        </w:rPr>
        <w:t>de pruebas diagnósticas de tuberculosis bovina</w:t>
      </w:r>
    </w:p>
    <w:p w14:paraId="4C0539B3" w14:textId="421A0D79" w:rsidR="00725546" w:rsidRPr="00725546" w:rsidRDefault="002474F6" w:rsidP="00725546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2344B">
        <w:rPr>
          <w:rFonts w:ascii="Arial" w:eastAsia="Arial" w:hAnsi="Arial" w:cs="Arial"/>
          <w:sz w:val="22"/>
          <w:szCs w:val="22"/>
        </w:rPr>
        <w:t xml:space="preserve">El Instituto de Investigaciones Agropecuarias, en adelante INIA, </w:t>
      </w:r>
      <w:r w:rsidR="00DD2FE0" w:rsidRPr="00DD2FE0">
        <w:rPr>
          <w:rFonts w:ascii="Arial" w:eastAsia="Arial" w:hAnsi="Arial" w:cs="Arial"/>
          <w:sz w:val="22"/>
          <w:szCs w:val="22"/>
        </w:rPr>
        <w:t xml:space="preserve">requiere la adquisición </w:t>
      </w:r>
      <w:r w:rsidR="00725546" w:rsidRPr="00DD2FE0">
        <w:rPr>
          <w:rFonts w:ascii="Arial" w:eastAsia="Arial" w:hAnsi="Arial" w:cs="Arial"/>
          <w:sz w:val="22"/>
          <w:szCs w:val="22"/>
        </w:rPr>
        <w:t xml:space="preserve">de </w:t>
      </w:r>
      <w:r w:rsidR="00725546" w:rsidRPr="00725546">
        <w:rPr>
          <w:rFonts w:ascii="Arial" w:eastAsia="Arial" w:hAnsi="Arial" w:cs="Arial"/>
          <w:sz w:val="22"/>
          <w:szCs w:val="22"/>
          <w:lang w:val="es-CL"/>
        </w:rPr>
        <w:t>insumos necesarios para la ejecución en el rebaño de INIA Remehue, en cumplimiento de los programas sanitarios y normativas vigentes del Servicio Agrícola y Ganadero (SAG).</w:t>
      </w:r>
    </w:p>
    <w:p w14:paraId="7F8368E8" w14:textId="77777777" w:rsidR="00725546" w:rsidRPr="00725546" w:rsidRDefault="00725546" w:rsidP="00725546">
      <w:pPr>
        <w:ind w:left="0" w:hanging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Estos insumos permiten realizar pruebas intradérmicas, fundamentales para el monitoreo sanitario del ganado y la prevención de enfermedades de alto impacto productivo.</w:t>
      </w:r>
    </w:p>
    <w:p w14:paraId="08BE519F" w14:textId="4BBA2BE7" w:rsidR="00CF5A2E" w:rsidRPr="0012344B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84DEA80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29EAA5" w14:textId="77777777" w:rsidR="00CF5A2E" w:rsidRDefault="002474F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Detalle del requerimiento:</w:t>
      </w:r>
    </w:p>
    <w:p w14:paraId="531B93FB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408EE6E" w14:textId="1A2EF062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ítem 1:</w:t>
      </w:r>
      <w:r w:rsidR="0012344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DD2FE0">
        <w:rPr>
          <w:rFonts w:ascii="Arial" w:eastAsia="Arial" w:hAnsi="Arial" w:cs="Arial"/>
          <w:b/>
          <w:sz w:val="22"/>
          <w:szCs w:val="22"/>
          <w:u w:val="single"/>
        </w:rPr>
        <w:t xml:space="preserve">Insumos prueba diagnostico tuberculosis bovina </w:t>
      </w:r>
    </w:p>
    <w:p w14:paraId="31F296FC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b/>
          <w:bCs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Tuberculina PPD Bovina</w:t>
      </w:r>
    </w:p>
    <w:p w14:paraId="42970369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Principio activo: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Derivado proteico purificado de </w:t>
      </w:r>
      <w:proofErr w:type="spellStart"/>
      <w:r w:rsidRPr="00725546">
        <w:rPr>
          <w:rFonts w:ascii="Arial" w:eastAsia="Arial" w:hAnsi="Arial" w:cs="Arial"/>
          <w:i/>
          <w:iCs/>
          <w:sz w:val="22"/>
          <w:szCs w:val="22"/>
          <w:lang w:val="es-CL"/>
        </w:rPr>
        <w:t>Mycobacterium</w:t>
      </w:r>
      <w:proofErr w:type="spellEnd"/>
      <w:r w:rsidRPr="00725546">
        <w:rPr>
          <w:rFonts w:ascii="Arial" w:eastAsia="Arial" w:hAnsi="Arial" w:cs="Arial"/>
          <w:i/>
          <w:iCs/>
          <w:sz w:val="22"/>
          <w:szCs w:val="22"/>
          <w:lang w:val="es-CL"/>
        </w:rPr>
        <w:t xml:space="preserve"> </w:t>
      </w:r>
      <w:proofErr w:type="spellStart"/>
      <w:r w:rsidRPr="00725546">
        <w:rPr>
          <w:rFonts w:ascii="Arial" w:eastAsia="Arial" w:hAnsi="Arial" w:cs="Arial"/>
          <w:i/>
          <w:iCs/>
          <w:sz w:val="22"/>
          <w:szCs w:val="22"/>
          <w:lang w:val="es-CL"/>
        </w:rPr>
        <w:t>bovis</w:t>
      </w:r>
      <w:proofErr w:type="spellEnd"/>
      <w:r w:rsidRPr="00725546">
        <w:rPr>
          <w:rFonts w:ascii="Arial" w:eastAsia="Arial" w:hAnsi="Arial" w:cs="Arial"/>
          <w:sz w:val="22"/>
          <w:szCs w:val="22"/>
          <w:lang w:val="es-CL"/>
        </w:rPr>
        <w:t> cepa AN-5</w:t>
      </w:r>
    </w:p>
    <w:p w14:paraId="366AA006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Concentración: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20.000 – 48.750 UI/ml</w:t>
      </w:r>
    </w:p>
    <w:p w14:paraId="3389C798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Dosis: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0,1 ml por animal</w:t>
      </w:r>
    </w:p>
    <w:p w14:paraId="47BADBA6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Vía de administración: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Intradérmica</w:t>
      </w:r>
    </w:p>
    <w:p w14:paraId="66894971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Uso: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Diagnóstico de tuberculosis bovina</w:t>
      </w:r>
    </w:p>
    <w:p w14:paraId="3BD36199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Presentación: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Frasco de 5 ml (50 dosis)</w:t>
      </w:r>
    </w:p>
    <w:p w14:paraId="3753F37D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Conservación: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Refrigeración entre +2°C y +8°C, no congelar</w:t>
      </w:r>
    </w:p>
    <w:p w14:paraId="2AB0D223" w14:textId="77777777" w:rsid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Periodo de resguardo:</w:t>
      </w:r>
      <w:r w:rsidRPr="00725546">
        <w:rPr>
          <w:rFonts w:ascii="Arial" w:eastAsia="Arial" w:hAnsi="Arial" w:cs="Arial"/>
          <w:sz w:val="22"/>
          <w:szCs w:val="22"/>
          <w:lang w:val="es-CL"/>
        </w:rPr>
        <w:t> 0 días </w:t>
      </w:r>
    </w:p>
    <w:p w14:paraId="1B2C91A0" w14:textId="61187F2C" w:rsidR="00725546" w:rsidRPr="00725546" w:rsidRDefault="00C3250E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Cantidad: 19</w:t>
      </w:r>
      <w:r w:rsidR="00725546">
        <w:rPr>
          <w:rFonts w:ascii="Arial" w:eastAsia="Arial" w:hAnsi="Arial" w:cs="Arial"/>
          <w:sz w:val="22"/>
          <w:szCs w:val="22"/>
          <w:lang w:val="es-CL"/>
        </w:rPr>
        <w:t xml:space="preserve"> cajas de 50 dosis</w:t>
      </w:r>
    </w:p>
    <w:p w14:paraId="5E33286D" w14:textId="77777777" w:rsidR="00C3250E" w:rsidRDefault="00C3250E" w:rsidP="00725546">
      <w:pPr>
        <w:ind w:leftChars="0" w:left="0" w:firstLineChars="0" w:firstLine="0"/>
        <w:jc w:val="both"/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5C7A4661" w14:textId="76755D4B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b/>
          <w:bCs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Jeringas desechables 5 ml con aguja</w:t>
      </w:r>
    </w:p>
    <w:p w14:paraId="59EAE3E2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Jeringa desechable de uso médico-veterinario, con capacidad de 5 ml, fabricada en material plástico transparente de grado clínico, que permite una adecuada visualización del contenido.</w:t>
      </w:r>
      <w:r w:rsidRPr="00725546">
        <w:rPr>
          <w:rFonts w:ascii="Arial" w:eastAsia="Arial" w:hAnsi="Arial" w:cs="Arial"/>
          <w:sz w:val="22"/>
          <w:szCs w:val="22"/>
          <w:lang w:val="es-CL"/>
        </w:rPr>
        <w:br/>
        <w:t>Cuenta con aguja incorporada estéril, de un solo uso, diseñada para procedimientos de administración intradérmica, subcutánea o intramuscular.</w:t>
      </w:r>
    </w:p>
    <w:p w14:paraId="23353D7B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Sistema de conexión tipo </w:t>
      </w: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Luer Lock (L.L.)</w:t>
      </w:r>
      <w:r w:rsidRPr="00725546">
        <w:rPr>
          <w:rFonts w:ascii="Arial" w:eastAsia="Arial" w:hAnsi="Arial" w:cs="Arial"/>
          <w:sz w:val="22"/>
          <w:szCs w:val="22"/>
          <w:lang w:val="es-CL"/>
        </w:rPr>
        <w:t>, que asegura una fijación firme de la aguja evitando fugas o desprendimientos.</w:t>
      </w:r>
    </w:p>
    <w:p w14:paraId="4C844C22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Émbolo con ajuste hermético que permite una dosificación precisa.</w:t>
      </w:r>
    </w:p>
    <w:p w14:paraId="0A6993E4" w14:textId="77777777" w:rsid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Producto estéril, libre de pirógenos y de un solo uso.</w:t>
      </w:r>
    </w:p>
    <w:p w14:paraId="032046F2" w14:textId="6BF9FEA4" w:rsid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>Cantidad :800 unidades</w:t>
      </w:r>
    </w:p>
    <w:p w14:paraId="4FC9252A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0F5B35A6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b/>
          <w:bCs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Agujas desechables 18G x 1”</w:t>
      </w:r>
    </w:p>
    <w:p w14:paraId="3925CE0A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Agujas hipodérmicas desechables, estériles, de un solo uso, fabricadas en acero inoxidable de grado médico, diseñadas para procedimientos veterinarios.</w:t>
      </w:r>
    </w:p>
    <w:p w14:paraId="7A5E19F7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Calibre: </w:t>
      </w: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18G</w:t>
      </w:r>
    </w:p>
    <w:p w14:paraId="07170BC0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Longitud: </w:t>
      </w: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1 pulgada (25 mm aprox.)</w:t>
      </w:r>
    </w:p>
    <w:p w14:paraId="1A2A7156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Punta biselada que facilita la penetración y reduce el daño tisular</w:t>
      </w:r>
    </w:p>
    <w:p w14:paraId="694AA6A3" w14:textId="77777777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Compatibles con jeringas tipo Luer Lock</w:t>
      </w:r>
    </w:p>
    <w:p w14:paraId="6FE7B678" w14:textId="77777777" w:rsid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sz w:val="22"/>
          <w:szCs w:val="22"/>
          <w:lang w:val="es-CL"/>
        </w:rPr>
        <w:t>Envasadas individualmente en condiciones estériles</w:t>
      </w:r>
    </w:p>
    <w:p w14:paraId="6260E2C8" w14:textId="0EA3DC10" w:rsidR="00725546" w:rsidRPr="00725546" w:rsidRDefault="00725546" w:rsidP="0072554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 xml:space="preserve">Cantidad :800 unidades </w:t>
      </w:r>
    </w:p>
    <w:p w14:paraId="3D67ED78" w14:textId="77777777" w:rsidR="0012344B" w:rsidRDefault="0012344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25477A9" w14:textId="77777777" w:rsidR="00232871" w:rsidRDefault="00232871" w:rsidP="00232871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5D7F7CFD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7EEAD3A4" w14:textId="77777777" w:rsidR="00CF5A2E" w:rsidRDefault="002474F6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Evaluación y mecanismo de desempate:</w:t>
      </w:r>
    </w:p>
    <w:p w14:paraId="11C643B3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1FED16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considerará la </w:t>
      </w:r>
      <w:r>
        <w:rPr>
          <w:rFonts w:ascii="Arial" w:eastAsia="Arial" w:hAnsi="Arial" w:cs="Arial"/>
          <w:b/>
          <w:sz w:val="22"/>
          <w:szCs w:val="22"/>
          <w:u w:val="single"/>
        </w:rPr>
        <w:t>oferta más ventajosa en precio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siempre que cumpla a cabalidad con las especificaciones técnicas requeridas. En caso de existir un empate en el precio, se privilegiará a la siguiente oferta de acuerdo con lo siguiente:</w:t>
      </w:r>
    </w:p>
    <w:p w14:paraId="29D754A3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4D6BD91" w14:textId="77777777" w:rsidR="00CF5A2E" w:rsidRDefault="002474F6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mantenerse el empate se privilegiará a la oferta que cuente con sello mujer o trate de una oferta presentada por una persona natural de género femenino o una empresa constituida por una mujer (E.I.R.L.).</w:t>
      </w:r>
    </w:p>
    <w:p w14:paraId="7D334108" w14:textId="77777777" w:rsidR="00CF5A2E" w:rsidRDefault="002474F6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Finalmente, si aún persiste el empate, se seleccionará a la propuesta que ingresó primero en </w:t>
      </w:r>
      <w:hyperlink r:id="rId8">
        <w:r>
          <w:rPr>
            <w:rFonts w:ascii="Arial" w:eastAsia="Arial" w:hAnsi="Arial" w:cs="Arial"/>
            <w:sz w:val="22"/>
            <w:szCs w:val="22"/>
          </w:rPr>
          <w:t>www.mercadopublico.cl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3252DC8C" w14:textId="77777777" w:rsidR="00103B63" w:rsidRDefault="00103B63" w:rsidP="00103B63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2FE3BE74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F0E2894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Consultas</w:t>
      </w:r>
    </w:p>
    <w:p w14:paraId="6D3797B2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8C37104" w14:textId="77777777" w:rsidR="00CF5A2E" w:rsidRDefault="0023287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consultas, dirigirlas a 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t>david.barriga@inia.cl</w:t>
      </w:r>
      <w:r w:rsidR="002474F6">
        <w:rPr>
          <w:rFonts w:ascii="Arial" w:eastAsia="Arial" w:hAnsi="Arial" w:cs="Arial"/>
          <w:sz w:val="22"/>
          <w:szCs w:val="22"/>
        </w:rPr>
        <w:t>, las que serán contestadas y publicadas 24 horas antes del cierre del proceso de compra ágil.</w:t>
      </w:r>
    </w:p>
    <w:p w14:paraId="4CD368EA" w14:textId="77777777" w:rsidR="00CF5A2E" w:rsidRDefault="00CF5A2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56CB744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Facturación</w:t>
      </w:r>
    </w:p>
    <w:p w14:paraId="16BF98E0" w14:textId="77777777" w:rsidR="00CF5A2E" w:rsidRDefault="00CF5A2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5895CD" w14:textId="77777777" w:rsidR="00CF5A2E" w:rsidRDefault="002474F6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Una vez recibido conforme el producto por parte del INIA, el proveedor debe emitir la factura, de acuerdo con el detalle de la orden de compra enviada a través del Sistema de Información de Compras y Contratación Pública. La factura debe ser emitida de la siguiente forma:</w:t>
      </w:r>
    </w:p>
    <w:p w14:paraId="1477BDCE" w14:textId="77777777" w:rsidR="00232871" w:rsidRDefault="00232871" w:rsidP="00232871">
      <w:pPr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B943A1" w14:textId="77777777" w:rsidR="00CF5A2E" w:rsidRPr="00232871" w:rsidRDefault="002474F6" w:rsidP="00232871">
      <w:pPr>
        <w:pStyle w:val="Prrafodelista"/>
        <w:numPr>
          <w:ilvl w:val="0"/>
          <w:numId w:val="9"/>
        </w:numPr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32871">
        <w:rPr>
          <w:rFonts w:ascii="Arial" w:eastAsia="Arial" w:hAnsi="Arial" w:cs="Arial"/>
          <w:color w:val="000000"/>
          <w:sz w:val="22"/>
          <w:szCs w:val="22"/>
        </w:rPr>
        <w:t>Razón Social: INSTITUTO DE INVESTIGACIONES AGROPECUARIAS</w:t>
      </w:r>
    </w:p>
    <w:p w14:paraId="6E644F60" w14:textId="77777777" w:rsidR="00CF5A2E" w:rsidRPr="00232871" w:rsidRDefault="002474F6" w:rsidP="00232871">
      <w:pPr>
        <w:pStyle w:val="Prrafodelista"/>
        <w:numPr>
          <w:ilvl w:val="0"/>
          <w:numId w:val="9"/>
        </w:numPr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32871">
        <w:rPr>
          <w:rFonts w:ascii="Arial" w:eastAsia="Arial" w:hAnsi="Arial" w:cs="Arial"/>
          <w:color w:val="000000"/>
          <w:sz w:val="22"/>
          <w:szCs w:val="22"/>
        </w:rPr>
        <w:t>RUT: 61.312.000-9</w:t>
      </w:r>
    </w:p>
    <w:p w14:paraId="1946188D" w14:textId="77777777" w:rsidR="00CF5A2E" w:rsidRPr="00232871" w:rsidRDefault="002474F6" w:rsidP="00232871">
      <w:pPr>
        <w:pStyle w:val="Prrafodelista"/>
        <w:numPr>
          <w:ilvl w:val="0"/>
          <w:numId w:val="9"/>
        </w:numPr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32871">
        <w:rPr>
          <w:rFonts w:ascii="Arial" w:eastAsia="Arial" w:hAnsi="Arial" w:cs="Arial"/>
          <w:color w:val="000000"/>
          <w:sz w:val="22"/>
          <w:szCs w:val="22"/>
        </w:rPr>
        <w:t xml:space="preserve">Dirección: </w:t>
      </w:r>
      <w:r w:rsidR="00232871" w:rsidRPr="00232871">
        <w:rPr>
          <w:rFonts w:ascii="Arial" w:eastAsia="Arial" w:hAnsi="Arial" w:cs="Arial"/>
          <w:color w:val="000000"/>
          <w:sz w:val="22"/>
          <w:szCs w:val="22"/>
        </w:rPr>
        <w:t>Km 8 norte, Osorno</w:t>
      </w:r>
    </w:p>
    <w:p w14:paraId="3128AAAC" w14:textId="77777777" w:rsidR="00CF5A2E" w:rsidRPr="00232871" w:rsidRDefault="002474F6" w:rsidP="00232871">
      <w:pPr>
        <w:pStyle w:val="Prrafodelista"/>
        <w:numPr>
          <w:ilvl w:val="0"/>
          <w:numId w:val="9"/>
        </w:numPr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32871">
        <w:rPr>
          <w:rFonts w:ascii="Arial" w:eastAsia="Arial" w:hAnsi="Arial" w:cs="Arial"/>
          <w:color w:val="000000"/>
          <w:sz w:val="22"/>
          <w:szCs w:val="22"/>
        </w:rPr>
        <w:t>Giro: APOYO A LA AGRICULTURA</w:t>
      </w:r>
    </w:p>
    <w:p w14:paraId="00284CF9" w14:textId="77777777" w:rsidR="00CF5A2E" w:rsidRPr="00232871" w:rsidRDefault="002474F6" w:rsidP="00232871">
      <w:pPr>
        <w:pStyle w:val="Prrafodelista"/>
        <w:numPr>
          <w:ilvl w:val="0"/>
          <w:numId w:val="9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232871">
        <w:rPr>
          <w:rFonts w:ascii="Arial" w:eastAsia="Arial" w:hAnsi="Arial" w:cs="Arial"/>
          <w:color w:val="000000"/>
          <w:sz w:val="22"/>
          <w:szCs w:val="22"/>
        </w:rPr>
        <w:t>Detalle</w:t>
      </w:r>
      <w:r w:rsidRPr="00232871">
        <w:rPr>
          <w:rFonts w:ascii="Arial" w:eastAsia="Arial" w:hAnsi="Arial" w:cs="Arial"/>
          <w:sz w:val="22"/>
          <w:szCs w:val="22"/>
        </w:rPr>
        <w:t xml:space="preserve">: </w:t>
      </w:r>
      <w:r w:rsidRPr="00232871">
        <w:rPr>
          <w:rFonts w:ascii="Arial" w:eastAsia="Arial" w:hAnsi="Arial" w:cs="Arial"/>
          <w:sz w:val="22"/>
          <w:szCs w:val="22"/>
          <w:highlight w:val="yellow"/>
        </w:rPr>
        <w:t>INDICAR CÓDIGO O ID ORDEN DE COMPRA.</w:t>
      </w:r>
    </w:p>
    <w:p w14:paraId="251DA0AF" w14:textId="77777777" w:rsidR="00CF5A2E" w:rsidRDefault="00CF5A2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CAA2433" w14:textId="77777777" w:rsidR="00CF5A2E" w:rsidRDefault="002474F6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factura será pagada en un plazo no superior a los 30 días corridos, contados desde su recepción conforme.</w:t>
      </w:r>
    </w:p>
    <w:p w14:paraId="263BC3D2" w14:textId="77777777" w:rsidR="00CF5A2E" w:rsidRDefault="00CF5A2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D41C8A" w14:textId="77777777" w:rsidR="00CF5A2E" w:rsidRDefault="002474F6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INIA, en el marco de lo dispuesto en el N° 2 del artículo 3° de la Ley 19.983, tendrá un plazo de ocho días corridos siguientes a la recepción de la factura para reclamar de su contenido o tenerse por irrevocablemente aceptada.</w:t>
      </w:r>
    </w:p>
    <w:p w14:paraId="2D57BE63" w14:textId="77777777" w:rsidR="00CF5A2E" w:rsidRDefault="00CF5A2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2FB728" w14:textId="77777777" w:rsidR="00CF5A2E" w:rsidRDefault="002474F6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Será responsabilidad del proveedor incorporar como documentos adjuntos los antecedentes que se requieran como parte del contrato o acuerdo con INIA para materializar el pago</w:t>
      </w:r>
    </w:p>
    <w:p w14:paraId="33922F2E" w14:textId="77777777" w:rsidR="00CF5A2E" w:rsidRDefault="00CF5A2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28D3A7" w14:textId="77777777" w:rsidR="00CF5A2E" w:rsidRDefault="002474F6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Por lo anterior y a fin de mitigar errores o descoordinaciones al momento del pago, será obligación del proveedor contratado informar, mediante correo electrónico o directamente consignándolo en su factura o documento tributario los siguientes datos:</w:t>
      </w:r>
    </w:p>
    <w:p w14:paraId="5B4C5C46" w14:textId="77777777" w:rsidR="00CF5A2E" w:rsidRDefault="00CF5A2E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7CC286" w14:textId="77777777" w:rsidR="00CF5A2E" w:rsidRDefault="002474F6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Razón Social:</w:t>
      </w:r>
    </w:p>
    <w:p w14:paraId="1C3F4109" w14:textId="77777777" w:rsidR="00CF5A2E" w:rsidRDefault="002474F6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RUT:</w:t>
      </w:r>
    </w:p>
    <w:p w14:paraId="41AEAC25" w14:textId="77777777" w:rsidR="00CF5A2E" w:rsidRDefault="002474F6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Banco:</w:t>
      </w:r>
    </w:p>
    <w:p w14:paraId="650ED1EB" w14:textId="77777777" w:rsidR="00CF5A2E" w:rsidRDefault="002474F6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N° Cuenta Corriente</w:t>
      </w:r>
    </w:p>
    <w:p w14:paraId="04981358" w14:textId="77777777" w:rsidR="00CF5A2E" w:rsidRDefault="002474F6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Contacto:</w:t>
      </w:r>
    </w:p>
    <w:p w14:paraId="592ACAD1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9B3A870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Presupuesto máximo disponible:</w:t>
      </w:r>
    </w:p>
    <w:p w14:paraId="5C51BBD5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CA83502" w14:textId="77777777" w:rsidR="00725546" w:rsidRPr="00725546" w:rsidRDefault="002474F6" w:rsidP="00725546">
      <w:pPr>
        <w:ind w:leftChars="0"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103B63">
        <w:rPr>
          <w:rFonts w:ascii="Arial" w:eastAsia="Arial" w:hAnsi="Arial" w:cs="Arial"/>
          <w:sz w:val="22"/>
          <w:szCs w:val="22"/>
          <w:u w:val="single"/>
        </w:rPr>
        <w:t xml:space="preserve">Para la presente contratación se dispone de un monto aproximado de </w:t>
      </w:r>
      <w:r w:rsidR="00DD2FE0" w:rsidRPr="00103B63">
        <w:rPr>
          <w:rFonts w:ascii="Arial" w:eastAsia="Arial" w:hAnsi="Arial" w:cs="Arial"/>
          <w:sz w:val="22"/>
          <w:szCs w:val="22"/>
          <w:u w:val="single"/>
        </w:rPr>
        <w:t>$</w:t>
      </w:r>
      <w:r w:rsidR="00DD2FE0" w:rsidRPr="00103B63">
        <w:t xml:space="preserve"> </w:t>
      </w:r>
      <w:r w:rsidR="00725546" w:rsidRPr="00725546">
        <w:rPr>
          <w:rFonts w:ascii="Arial" w:eastAsia="Arial" w:hAnsi="Arial" w:cs="Arial"/>
          <w:sz w:val="22"/>
          <w:szCs w:val="22"/>
          <w:lang w:val="es-CL"/>
        </w:rPr>
        <w:t>421.228</w:t>
      </w:r>
    </w:p>
    <w:p w14:paraId="469FD0D7" w14:textId="24CB8406" w:rsidR="00103B63" w:rsidRPr="00103B63" w:rsidRDefault="00DD2FE0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2474F6" w:rsidRPr="00103B63">
        <w:rPr>
          <w:rFonts w:ascii="Arial" w:eastAsia="Arial" w:hAnsi="Arial" w:cs="Arial"/>
          <w:sz w:val="22"/>
          <w:szCs w:val="22"/>
          <w:u w:val="single"/>
        </w:rPr>
        <w:t>(</w:t>
      </w:r>
      <w:r w:rsidR="00725546" w:rsidRPr="00725546">
        <w:rPr>
          <w:rFonts w:ascii="Arial" w:eastAsia="Arial" w:hAnsi="Arial" w:cs="Arial"/>
          <w:sz w:val="22"/>
          <w:szCs w:val="22"/>
          <w:u w:val="single"/>
        </w:rPr>
        <w:t xml:space="preserve">cuatrocientos veintiún mil doscientos veintiocho </w:t>
      </w:r>
      <w:r w:rsidR="00103B63" w:rsidRPr="00103B63">
        <w:rPr>
          <w:rFonts w:ascii="Arial" w:eastAsia="Arial" w:hAnsi="Arial" w:cs="Arial"/>
          <w:sz w:val="22"/>
          <w:szCs w:val="22"/>
          <w:u w:val="single"/>
        </w:rPr>
        <w:t>pesos</w:t>
      </w:r>
      <w:r w:rsidR="002474F6" w:rsidRPr="00103B63">
        <w:rPr>
          <w:rFonts w:ascii="Arial" w:eastAsia="Arial" w:hAnsi="Arial" w:cs="Arial"/>
          <w:sz w:val="22"/>
          <w:szCs w:val="22"/>
          <w:u w:val="single"/>
        </w:rPr>
        <w:t xml:space="preserve">), valor con I.V.A. incluido, </w:t>
      </w:r>
      <w:r w:rsidR="00103B63" w:rsidRPr="00103B63">
        <w:rPr>
          <w:rFonts w:ascii="Arial" w:eastAsia="Arial" w:hAnsi="Arial" w:cs="Arial"/>
          <w:sz w:val="22"/>
          <w:szCs w:val="22"/>
          <w:u w:val="single"/>
        </w:rPr>
        <w:t>que se compone del siguiente detalle:</w:t>
      </w:r>
    </w:p>
    <w:p w14:paraId="7C1BA89C" w14:textId="77777777" w:rsidR="00103B63" w:rsidRDefault="00103B63">
      <w:pPr>
        <w:ind w:left="0" w:hanging="2"/>
        <w:jc w:val="both"/>
        <w:rPr>
          <w:rFonts w:ascii="Arial" w:eastAsia="Arial" w:hAnsi="Arial" w:cs="Arial"/>
          <w:sz w:val="22"/>
          <w:szCs w:val="22"/>
          <w:highlight w:val="yellow"/>
          <w:u w:val="single"/>
        </w:rPr>
      </w:pPr>
    </w:p>
    <w:tbl>
      <w:tblPr>
        <w:tblW w:w="9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1122"/>
        <w:gridCol w:w="1101"/>
        <w:gridCol w:w="2058"/>
        <w:gridCol w:w="1195"/>
      </w:tblGrid>
      <w:tr w:rsidR="00E73D06" w:rsidRPr="00725546" w14:paraId="760AC5A8" w14:textId="77777777" w:rsidTr="00E73D06">
        <w:trPr>
          <w:trHeight w:val="602"/>
          <w:tblHeader/>
          <w:tblCellSpacing w:w="15" w:type="dxa"/>
        </w:trPr>
        <w:tc>
          <w:tcPr>
            <w:tcW w:w="3955" w:type="dxa"/>
            <w:vAlign w:val="center"/>
            <w:hideMark/>
          </w:tcPr>
          <w:p w14:paraId="7BA1C9F3" w14:textId="77777777" w:rsidR="00725546" w:rsidRPr="0072554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</w:pPr>
            <w:bookmarkStart w:id="0" w:name="_GoBack"/>
            <w:bookmarkEnd w:id="0"/>
            <w:r w:rsidRPr="00725546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>Producto</w:t>
            </w:r>
          </w:p>
        </w:tc>
        <w:tc>
          <w:tcPr>
            <w:tcW w:w="1092" w:type="dxa"/>
            <w:vAlign w:val="center"/>
            <w:hideMark/>
          </w:tcPr>
          <w:p w14:paraId="08CD690A" w14:textId="77777777" w:rsidR="00725546" w:rsidRPr="0072554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</w:pPr>
            <w:r w:rsidRPr="00725546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>Unidad</w:t>
            </w:r>
          </w:p>
        </w:tc>
        <w:tc>
          <w:tcPr>
            <w:tcW w:w="0" w:type="auto"/>
            <w:vAlign w:val="center"/>
            <w:hideMark/>
          </w:tcPr>
          <w:p w14:paraId="4B435E8D" w14:textId="77777777" w:rsidR="00725546" w:rsidRPr="0072554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</w:pPr>
            <w:r w:rsidRPr="00725546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0" w:type="auto"/>
            <w:vAlign w:val="center"/>
            <w:hideMark/>
          </w:tcPr>
          <w:p w14:paraId="728F30B8" w14:textId="77777777" w:rsidR="00725546" w:rsidRPr="0072554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</w:pPr>
            <w:r w:rsidRPr="00725546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>Precio Unitario Neto</w:t>
            </w:r>
          </w:p>
        </w:tc>
        <w:tc>
          <w:tcPr>
            <w:tcW w:w="0" w:type="auto"/>
            <w:vAlign w:val="center"/>
            <w:hideMark/>
          </w:tcPr>
          <w:p w14:paraId="7A4CF974" w14:textId="77777777" w:rsidR="00725546" w:rsidRPr="0072554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</w:pPr>
            <w:r w:rsidRPr="00725546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>Total Neto</w:t>
            </w:r>
          </w:p>
        </w:tc>
      </w:tr>
      <w:tr w:rsidR="00E73D06" w:rsidRPr="00E73D06" w14:paraId="364F98D6" w14:textId="77777777" w:rsidTr="00E73D06">
        <w:trPr>
          <w:trHeight w:val="248"/>
          <w:tblCellSpacing w:w="15" w:type="dxa"/>
        </w:trPr>
        <w:tc>
          <w:tcPr>
            <w:tcW w:w="3955" w:type="dxa"/>
            <w:vAlign w:val="center"/>
            <w:hideMark/>
          </w:tcPr>
          <w:p w14:paraId="3F14DAB8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Jeringa desechable 5 ml con aguja</w:t>
            </w:r>
          </w:p>
        </w:tc>
        <w:tc>
          <w:tcPr>
            <w:tcW w:w="1092" w:type="dxa"/>
            <w:vAlign w:val="center"/>
            <w:hideMark/>
          </w:tcPr>
          <w:p w14:paraId="1E178A3B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Unidad</w:t>
            </w:r>
          </w:p>
        </w:tc>
        <w:tc>
          <w:tcPr>
            <w:tcW w:w="0" w:type="auto"/>
            <w:vAlign w:val="center"/>
            <w:hideMark/>
          </w:tcPr>
          <w:p w14:paraId="081EB48E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1D016B21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$58</w:t>
            </w:r>
          </w:p>
        </w:tc>
        <w:tc>
          <w:tcPr>
            <w:tcW w:w="0" w:type="auto"/>
            <w:vAlign w:val="center"/>
            <w:hideMark/>
          </w:tcPr>
          <w:p w14:paraId="5A7785A9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$46.400</w:t>
            </w:r>
          </w:p>
        </w:tc>
      </w:tr>
      <w:tr w:rsidR="00E73D06" w:rsidRPr="00E73D06" w14:paraId="18B99247" w14:textId="77777777" w:rsidTr="00E73D06">
        <w:trPr>
          <w:trHeight w:val="496"/>
          <w:tblCellSpacing w:w="15" w:type="dxa"/>
        </w:trPr>
        <w:tc>
          <w:tcPr>
            <w:tcW w:w="3955" w:type="dxa"/>
            <w:vAlign w:val="center"/>
            <w:hideMark/>
          </w:tcPr>
          <w:p w14:paraId="3F4A455C" w14:textId="77777777" w:rsidR="00E73D06" w:rsidRPr="00E73D06" w:rsidRDefault="00E73D0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</w:p>
          <w:p w14:paraId="70D9CD2A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Aguja desechable 18G x 1”</w:t>
            </w:r>
          </w:p>
        </w:tc>
        <w:tc>
          <w:tcPr>
            <w:tcW w:w="1092" w:type="dxa"/>
            <w:vAlign w:val="center"/>
            <w:hideMark/>
          </w:tcPr>
          <w:p w14:paraId="6EA0CAC0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Unidad</w:t>
            </w:r>
          </w:p>
        </w:tc>
        <w:tc>
          <w:tcPr>
            <w:tcW w:w="0" w:type="auto"/>
            <w:vAlign w:val="center"/>
            <w:hideMark/>
          </w:tcPr>
          <w:p w14:paraId="298F29C1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4418A48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$29</w:t>
            </w:r>
          </w:p>
        </w:tc>
        <w:tc>
          <w:tcPr>
            <w:tcW w:w="0" w:type="auto"/>
            <w:vAlign w:val="center"/>
            <w:hideMark/>
          </w:tcPr>
          <w:p w14:paraId="1162DCB4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$23.200</w:t>
            </w:r>
          </w:p>
        </w:tc>
      </w:tr>
      <w:tr w:rsidR="00E73D06" w:rsidRPr="00E73D06" w14:paraId="56F2C875" w14:textId="77777777" w:rsidTr="00E73D06">
        <w:trPr>
          <w:trHeight w:val="496"/>
          <w:tblCellSpacing w:w="15" w:type="dxa"/>
        </w:trPr>
        <w:tc>
          <w:tcPr>
            <w:tcW w:w="3955" w:type="dxa"/>
            <w:vAlign w:val="center"/>
            <w:hideMark/>
          </w:tcPr>
          <w:p w14:paraId="1F53AFEB" w14:textId="77777777" w:rsidR="00E73D06" w:rsidRPr="00E73D06" w:rsidRDefault="00E73D0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</w:p>
          <w:p w14:paraId="40D712CD" w14:textId="54D9B6E5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Tuberculina PPD Bovina (</w:t>
            </w:r>
            <w:proofErr w:type="spellStart"/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Agrovet</w:t>
            </w:r>
            <w:proofErr w:type="spellEnd"/>
            <w:r w:rsidR="00E73D06"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 xml:space="preserve"> o equivalente</w:t>
            </w: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)</w:t>
            </w:r>
          </w:p>
        </w:tc>
        <w:tc>
          <w:tcPr>
            <w:tcW w:w="1092" w:type="dxa"/>
            <w:vAlign w:val="center"/>
            <w:hideMark/>
          </w:tcPr>
          <w:p w14:paraId="15F91618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Frasco</w:t>
            </w:r>
          </w:p>
        </w:tc>
        <w:tc>
          <w:tcPr>
            <w:tcW w:w="0" w:type="auto"/>
            <w:vAlign w:val="center"/>
            <w:hideMark/>
          </w:tcPr>
          <w:p w14:paraId="0FD16579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F2E82C2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$14.967</w:t>
            </w:r>
          </w:p>
        </w:tc>
        <w:tc>
          <w:tcPr>
            <w:tcW w:w="0" w:type="auto"/>
            <w:vAlign w:val="center"/>
            <w:hideMark/>
          </w:tcPr>
          <w:p w14:paraId="665B4855" w14:textId="77777777" w:rsidR="00725546" w:rsidRPr="00E73D06" w:rsidRDefault="00725546" w:rsidP="0072554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22"/>
                <w:lang w:val="es-CL"/>
              </w:rPr>
            </w:pPr>
            <w:r w:rsidRPr="00E73D06">
              <w:rPr>
                <w:rFonts w:ascii="Arial" w:eastAsia="Arial" w:hAnsi="Arial" w:cs="Arial"/>
                <w:sz w:val="18"/>
                <w:szCs w:val="22"/>
                <w:lang w:val="es-CL"/>
              </w:rPr>
              <w:t>$284.373</w:t>
            </w:r>
          </w:p>
        </w:tc>
      </w:tr>
    </w:tbl>
    <w:p w14:paraId="4F26D49A" w14:textId="77777777" w:rsidR="00CF5A2E" w:rsidRPr="00E73D06" w:rsidRDefault="00CF5A2E">
      <w:pPr>
        <w:ind w:left="0" w:hanging="2"/>
        <w:jc w:val="both"/>
        <w:rPr>
          <w:rFonts w:ascii="Arial" w:eastAsia="Arial" w:hAnsi="Arial" w:cs="Arial"/>
          <w:sz w:val="18"/>
          <w:szCs w:val="22"/>
        </w:rPr>
      </w:pPr>
    </w:p>
    <w:p w14:paraId="4EB514D7" w14:textId="269F1870" w:rsidR="00725546" w:rsidRPr="00725546" w:rsidRDefault="00725546" w:rsidP="00725546">
      <w:pPr>
        <w:ind w:leftChars="0" w:left="-2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Subtotal Neto:</w:t>
      </w:r>
      <w:r w:rsidRPr="00725546">
        <w:rPr>
          <w:rFonts w:ascii="Arial" w:eastAsia="Arial" w:hAnsi="Arial" w:cs="Arial"/>
          <w:sz w:val="22"/>
          <w:szCs w:val="22"/>
          <w:lang w:val="es-CL"/>
        </w:rPr>
        <w:t xml:space="preserve"> $353.973 </w:t>
      </w:r>
    </w:p>
    <w:p w14:paraId="13ED6010" w14:textId="32F539D4" w:rsidR="00725546" w:rsidRPr="00725546" w:rsidRDefault="00725546" w:rsidP="00725546">
      <w:pPr>
        <w:ind w:leftChars="0" w:left="-2" w:firstLineChars="0" w:firstLine="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IVA (19%):</w:t>
      </w:r>
      <w:r w:rsidRPr="00725546">
        <w:rPr>
          <w:rFonts w:ascii="Arial" w:eastAsia="Arial" w:hAnsi="Arial" w:cs="Arial"/>
          <w:sz w:val="22"/>
          <w:szCs w:val="22"/>
          <w:lang w:val="es-CL"/>
        </w:rPr>
        <w:t xml:space="preserve"> $67.255 </w:t>
      </w:r>
    </w:p>
    <w:p w14:paraId="469E4ECD" w14:textId="429FC145" w:rsidR="00725546" w:rsidRPr="00725546" w:rsidRDefault="00725546" w:rsidP="00725546">
      <w:pPr>
        <w:ind w:leftChars="0"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725546">
        <w:rPr>
          <w:rFonts w:ascii="Arial" w:eastAsia="Arial" w:hAnsi="Arial" w:cs="Arial"/>
          <w:b/>
          <w:bCs/>
          <w:sz w:val="22"/>
          <w:szCs w:val="22"/>
          <w:lang w:val="es-CL"/>
        </w:rPr>
        <w:t>Total:</w:t>
      </w:r>
      <w:r w:rsidRPr="00725546">
        <w:rPr>
          <w:rFonts w:ascii="Arial" w:eastAsia="Arial" w:hAnsi="Arial" w:cs="Arial"/>
          <w:sz w:val="22"/>
          <w:szCs w:val="22"/>
          <w:lang w:val="es-CL"/>
        </w:rPr>
        <w:t xml:space="preserve"> $421.228</w:t>
      </w:r>
    </w:p>
    <w:p w14:paraId="7E99FF30" w14:textId="77777777" w:rsidR="00DD2FE0" w:rsidRDefault="00DD2FE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BAAFF0B" w14:textId="77777777" w:rsidR="00725546" w:rsidRDefault="0072554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9F5F9C" w14:textId="77777777" w:rsidR="00725546" w:rsidRDefault="0072554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1DBA647" w14:textId="77777777" w:rsidR="00725546" w:rsidRDefault="0072554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9C8A5CE" w14:textId="77777777" w:rsidR="00725546" w:rsidRDefault="0072554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BE75290" w14:textId="77777777" w:rsidR="00DD2FE0" w:rsidRDefault="00DD2FE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FB6F8C1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Contrato.</w:t>
      </w:r>
    </w:p>
    <w:p w14:paraId="4971D1AA" w14:textId="77777777" w:rsidR="00CF5A2E" w:rsidRDefault="00CF5A2E">
      <w:pPr>
        <w:tabs>
          <w:tab w:val="left" w:pos="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E854086" w14:textId="77777777" w:rsidR="00CF5A2E" w:rsidRDefault="002474F6">
      <w:pPr>
        <w:tabs>
          <w:tab w:val="left" w:pos="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presente contratación se formalizará mediante la emisión de la orden de compra en el portal y la aceptación de la misma por parte del proveedor, de conformidad con lo establecido en el artículo 63 del Reglamento de la Ley de Compras N° 19.886.</w:t>
      </w:r>
    </w:p>
    <w:p w14:paraId="49091F62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05D01C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Incumplimientos</w:t>
      </w:r>
    </w:p>
    <w:p w14:paraId="400DB663" w14:textId="77777777" w:rsidR="00CF5A2E" w:rsidRDefault="00CF5A2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91AC350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incumplimientos, el INIA notificará al proveedor formalmente mediante carta dirigida a su representante legal y aplicará las siguientes sanciones:</w:t>
      </w:r>
    </w:p>
    <w:p w14:paraId="42C3BB9D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A0150EC" w14:textId="77777777" w:rsidR="00CF5A2E" w:rsidRDefault="002474F6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Multas:</w:t>
      </w:r>
    </w:p>
    <w:p w14:paraId="4F8A543C" w14:textId="77777777" w:rsidR="00CF5A2E" w:rsidRDefault="00CF5A2E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6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00"/>
      </w:tblGrid>
      <w:tr w:rsidR="00CF5A2E" w14:paraId="7B556BBC" w14:textId="77777777">
        <w:trPr>
          <w:trHeight w:val="5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6E39" w14:textId="77777777" w:rsidR="00CF5A2E" w:rsidRDefault="002474F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Incumplimientos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2DD0" w14:textId="77777777" w:rsidR="00CF5A2E" w:rsidRDefault="002474F6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Multa (en UF)</w:t>
            </w:r>
          </w:p>
        </w:tc>
      </w:tr>
      <w:tr w:rsidR="00CF5A2E" w14:paraId="4CD69977" w14:textId="77777777">
        <w:trPr>
          <w:trHeight w:val="5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1026" w14:textId="77777777" w:rsidR="00CF5A2E" w:rsidRDefault="002474F6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Incumplimiento en la prestación de servicio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373A" w14:textId="77777777" w:rsidR="00CF5A2E" w:rsidRDefault="002474F6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UF con tope único de una vez.</w:t>
            </w:r>
          </w:p>
        </w:tc>
      </w:tr>
    </w:tbl>
    <w:p w14:paraId="5FCA4B90" w14:textId="77777777" w:rsidR="00CF5A2E" w:rsidRDefault="00CF5A2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EC1AB47" w14:textId="77777777" w:rsidR="00CF5A2E" w:rsidRDefault="002474F6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 multas serán pagadas por el proveedor en los términos y condiciones que establezca el acto institucional que las aplique.</w:t>
      </w:r>
    </w:p>
    <w:p w14:paraId="16D4A613" w14:textId="77777777" w:rsidR="00CF5A2E" w:rsidRDefault="00CF5A2E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</w:p>
    <w:p w14:paraId="76F3F44D" w14:textId="77777777" w:rsidR="00CF5A2E" w:rsidRDefault="002474F6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Las multas y el comportamiento general del proveedor serán informados en el Sistema de Información de Compras, de acuerdo con lo establecido en el artículo 96 bis.- Comportamiento contractual anterior de los proveedores, del reglamento de la ley N° 19.886.</w:t>
      </w:r>
    </w:p>
    <w:p w14:paraId="07F0202B" w14:textId="77777777" w:rsidR="00CF5A2E" w:rsidRDefault="00CF5A2E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</w:p>
    <w:p w14:paraId="220EBE35" w14:textId="77777777" w:rsidR="00CF5A2E" w:rsidRDefault="002474F6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Procedimiento de cobro de multas:</w:t>
      </w:r>
    </w:p>
    <w:p w14:paraId="2AA3ADA7" w14:textId="77777777" w:rsidR="00CF5A2E" w:rsidRDefault="00CF5A2E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</w:p>
    <w:p w14:paraId="6449B48F" w14:textId="77777777" w:rsidR="00CF5A2E" w:rsidRDefault="002474F6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Una vez producido el incumplimiento el INIA notificará formalmente el mismo, otorgando un plazo de tres días hábiles a partir de la recepción de la notificación para que el proveedor formule sus descargos. El INIA contará con un plazo máximo de 10 días hábiles para otorgar respuesta al proveedor y formalizar el cobro de la multa respectiva, si así procediese.</w:t>
      </w:r>
    </w:p>
    <w:p w14:paraId="7AA0CA6E" w14:textId="77777777" w:rsidR="00CF5A2E" w:rsidRDefault="00CF5A2E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</w:p>
    <w:p w14:paraId="0582E12A" w14:textId="77777777" w:rsidR="00CF5A2E" w:rsidRDefault="002474F6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resumen, los plazos del proceso de cobro de multas son los siguientes:</w:t>
      </w:r>
    </w:p>
    <w:p w14:paraId="0904BDD6" w14:textId="77777777" w:rsidR="00CF5A2E" w:rsidRDefault="00CF5A2E">
      <w:pPr>
        <w:tabs>
          <w:tab w:val="left" w:pos="-720"/>
          <w:tab w:val="left" w:pos="0"/>
        </w:tabs>
        <w:ind w:left="0" w:right="56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6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296"/>
        <w:gridCol w:w="3927"/>
      </w:tblGrid>
      <w:tr w:rsidR="00CF5A2E" w14:paraId="13D1C584" w14:textId="77777777">
        <w:trPr>
          <w:trHeight w:val="67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695A" w14:textId="77777777" w:rsidR="00CF5A2E" w:rsidRDefault="002474F6">
            <w:pPr>
              <w:tabs>
                <w:tab w:val="left" w:pos="-720"/>
                <w:tab w:val="left" w:pos="0"/>
              </w:tabs>
              <w:ind w:left="0" w:right="56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Notificación al proveedor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546C" w14:textId="77777777" w:rsidR="00CF5A2E" w:rsidRDefault="002474F6">
            <w:pPr>
              <w:tabs>
                <w:tab w:val="left" w:pos="-720"/>
                <w:tab w:val="left" w:pos="0"/>
              </w:tabs>
              <w:ind w:left="0" w:right="56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Respuesta - Descargos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8BF4" w14:textId="77777777" w:rsidR="00CF5A2E" w:rsidRDefault="002474F6">
            <w:pPr>
              <w:tabs>
                <w:tab w:val="left" w:pos="-720"/>
                <w:tab w:val="left" w:pos="0"/>
              </w:tabs>
              <w:ind w:left="0" w:right="56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Respuesta formal – Notificación de Multa.</w:t>
            </w:r>
          </w:p>
        </w:tc>
      </w:tr>
      <w:tr w:rsidR="00CF5A2E" w14:paraId="4AF377DE" w14:textId="77777777">
        <w:trPr>
          <w:trHeight w:val="67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236E" w14:textId="77777777" w:rsidR="00CF5A2E" w:rsidRDefault="002474F6">
            <w:pPr>
              <w:tabs>
                <w:tab w:val="left" w:pos="-720"/>
                <w:tab w:val="left" w:pos="0"/>
              </w:tabs>
              <w:ind w:left="0" w:right="56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días hábiles – Correo Certificado.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21EE" w14:textId="77777777" w:rsidR="00CF5A2E" w:rsidRDefault="002474F6">
            <w:pPr>
              <w:tabs>
                <w:tab w:val="left" w:pos="-720"/>
                <w:tab w:val="left" w:pos="0"/>
              </w:tabs>
              <w:ind w:left="0" w:right="56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días hábiles para responder a INIA.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81C0" w14:textId="77777777" w:rsidR="00CF5A2E" w:rsidRDefault="002474F6">
            <w:pPr>
              <w:tabs>
                <w:tab w:val="left" w:pos="-720"/>
                <w:tab w:val="left" w:pos="0"/>
              </w:tabs>
              <w:ind w:left="0" w:right="56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 días hábiles a partir de los descargos del proveedor o cumplido el plazo para responder.</w:t>
            </w:r>
          </w:p>
        </w:tc>
      </w:tr>
    </w:tbl>
    <w:p w14:paraId="794A66AC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651CB52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Pacto de Integridad</w:t>
      </w:r>
    </w:p>
    <w:p w14:paraId="7AF1E5EC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D0E8679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proveedor se obliga a ajustar su actuar y cumplir con los principios de legalidad, ética, moral, buenas costumbres y transparencia.</w:t>
      </w:r>
    </w:p>
    <w:p w14:paraId="21498DA0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proveedor manifiesta, garantiza y acepta que conoce y respetará las reglas y condiciones establecidas en la presente contratación, sus documentos integrantes y él o los contratos que de ellos se derivase.</w:t>
      </w:r>
    </w:p>
    <w:p w14:paraId="1DCAF969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proveedor se obliga y acepta asumir, las consecuencias y sanciones previstas para esta adquisición, así como en la legislación y normativa que sean aplicables a la misma.</w:t>
      </w:r>
    </w:p>
    <w:p w14:paraId="0ECEF329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proveedor reconoce y declara que la oferta presentada es una propuesta seria, con información fidedigna y en términos técnicos y económicos ajustados a la realidad, que aseguren la posibilidad de cumplir con la misma en las condiciones y oportunidad ofertadas.</w:t>
      </w:r>
    </w:p>
    <w:p w14:paraId="34532058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proveedor se obliga a tomar todas las medidas que fuesen necesarias para que las obligaciones anteriormente señaladas sean asumidas y cabalmente cumplidas por sus empleados y/o dependientes y/o asesores y/o agentes y en general, todas las personas con que </w:t>
      </w:r>
      <w:r>
        <w:rPr>
          <w:rFonts w:ascii="Arial" w:eastAsia="Arial" w:hAnsi="Arial" w:cs="Arial"/>
          <w:sz w:val="22"/>
          <w:szCs w:val="22"/>
        </w:rPr>
        <w:lastRenderedPageBreak/>
        <w:t>éste o éstos se relacionen directa o indirectamente en virtud o como efecto de la presente contratación, incluidos sus subcontratistas, haciéndose plenamente responsable de las consecuencias de su infracción, sin perjuicio de las responsabilidades individuales que también procediesen y/o fuesen determinadas por el INIA .</w:t>
      </w:r>
    </w:p>
    <w:p w14:paraId="740CAF80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Que son exigibles las condiciones ofrecidas por el proveedor establecidas en su propuesta comercial, con todas las especificaciones que en ella se señalan.</w:t>
      </w:r>
    </w:p>
    <w:p w14:paraId="25B5B20B" w14:textId="77777777" w:rsidR="00CF5A2E" w:rsidRDefault="002474F6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Que el INIA podrá notificar al proveedor el incumplimiento en los plazos máximos fijados para la entrega de los productos ofrecidos.</w:t>
      </w:r>
    </w:p>
    <w:p w14:paraId="467C233E" w14:textId="77777777" w:rsidR="00103B63" w:rsidRDefault="00103B63" w:rsidP="00103B63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2360D3CC" w14:textId="77777777" w:rsidR="00103B63" w:rsidRDefault="00103B63" w:rsidP="00103B63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54A9FD85" w14:textId="77777777" w:rsidR="00103B63" w:rsidRDefault="00103B63" w:rsidP="00103B63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186FAAF0" w14:textId="77777777" w:rsidR="00103B63" w:rsidRDefault="00103B63" w:rsidP="00103B63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0EFD87F1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F54D85B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Fuerza mayor o caso fortuito</w:t>
      </w:r>
    </w:p>
    <w:p w14:paraId="64FCF08D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6A534BA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 el proveedor ni el INIA serán responsables en caso de demora o tardanza en la ejecución de sus obligaciones contractuales debido a hechos calificados como fuerza mayor o caso fortuito, conforme lo dispuesto en el artículo 45 del Código Civil.</w:t>
      </w:r>
    </w:p>
    <w:p w14:paraId="1AE4A5CE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0B98855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proveedor que se vea afectado por una situación de fuerza mayor o caso fortuito notificará, por escrito a el INIA, dentro de los cinco primeros días de ocurrido el hecho; además, la solicitud de prórroga que se requiera al efecto deberá contener los fundamentos y antecedentes en que consten los hechos que constituyen la situación señalada acompañando los documentos necesarios para mejor resolver.</w:t>
      </w:r>
    </w:p>
    <w:p w14:paraId="78AFFD11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28C6D5D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calificación de fuerza mayor o caso fortuito, corresponderá resolverla a INIA, mediante actuación fundada, sobre la base de los antecedentes que le proporcione el proveedor y/o aquellos que obtenga de terceros o sean de conocimiento público.</w:t>
      </w:r>
    </w:p>
    <w:p w14:paraId="304C49C0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B610BB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que la situación descrita implique una ampliación de la vigencia del contrato, dicha situación también será formalizada mediante el respectivo acto institucional, hasta cumplir con los términos y condiciones de las presentes especificaciones.</w:t>
      </w:r>
    </w:p>
    <w:p w14:paraId="58ACC8CC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7A0257B" w14:textId="77777777" w:rsidR="00CF5A2E" w:rsidRDefault="002474F6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 la notificación de la selección, consultas sobre la misma y re-selección</w:t>
      </w:r>
    </w:p>
    <w:p w14:paraId="55CAC4B0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EE86815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Notificación: El INIA informará a todos los oferentes del resultado de la compra ágil a través del portal de Mercado Público. </w:t>
      </w:r>
    </w:p>
    <w:p w14:paraId="14EDC6CC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F0396F" w14:textId="77777777" w:rsidR="00CF5A2E" w:rsidRDefault="002474F6">
      <w:pPr>
        <w:shd w:val="clear" w:color="auto" w:fill="FFFFFF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 - selección: Si el respectivo seleccionado se desiste de su oferta, no entregase los antecedentes que se le soliciten o no acepta la orden de compra, el INIA dejará sin efecto la selección y podrá seleccionar al oferente que, de acuerdo al resultado le siga en cumplimiento, de lo contrario podrá cerrar la compra ágil.</w:t>
      </w:r>
    </w:p>
    <w:p w14:paraId="1AD80914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CE10F1E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consecuencia, cualquier incumplimiento del proveedor seleccionado, facultará a INIA para dejar sin efecto la compra ágil y re-seleccionar al oferente que haya obtenido la segunda ubicación.</w:t>
      </w:r>
    </w:p>
    <w:p w14:paraId="110DE8DA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DAAA120" w14:textId="77777777" w:rsidR="00CF5A2E" w:rsidRDefault="002474F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Consultas y reclamos: El o los proveedores que tengan consultas respecto de la selección o de su proceso, podrán realizar formalmente sus consultas a través del encargado de la presente licitación a la casilla de correo electrónico: </w:t>
      </w:r>
      <w:hyperlink r:id="rId9" w:history="1">
        <w:r w:rsidR="00232871" w:rsidRPr="002F4A5F">
          <w:rPr>
            <w:rStyle w:val="Hipervnculo"/>
            <w:rFonts w:ascii="Arial" w:eastAsia="Arial" w:hAnsi="Arial" w:cs="Arial"/>
            <w:sz w:val="22"/>
            <w:szCs w:val="22"/>
          </w:rPr>
          <w:t>david.barriga@inia.cl</w:t>
        </w:r>
      </w:hyperlink>
      <w:r>
        <w:rPr>
          <w:rFonts w:ascii="Arial" w:eastAsia="Arial" w:hAnsi="Arial" w:cs="Arial"/>
          <w:sz w:val="22"/>
          <w:szCs w:val="22"/>
        </w:rPr>
        <w:t xml:space="preserve">, quien debe responder en un plazo no superior a 48 horas y podrán presentar sus reclamos a través de la plataforma de probidad activa dispuesta en el sistema de información de compras y contrataciones públicas </w:t>
      </w:r>
      <w:hyperlink r:id="rId10">
        <w:r>
          <w:rPr>
            <w:rFonts w:ascii="Arial" w:eastAsia="Arial" w:hAnsi="Arial" w:cs="Arial"/>
            <w:sz w:val="22"/>
            <w:szCs w:val="22"/>
          </w:rPr>
          <w:t>www.mercadopublico.cl</w:t>
        </w:r>
      </w:hyperlink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75F42FB9" w14:textId="77777777" w:rsidR="00CF5A2E" w:rsidRDefault="00CF5A2E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3D7CA03" w14:textId="77777777" w:rsidR="00CF5A2E" w:rsidRDefault="00CF5A2E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sectPr w:rsidR="00CF5A2E">
      <w:footerReference w:type="default" r:id="rId11"/>
      <w:pgSz w:w="12240" w:h="18720"/>
      <w:pgMar w:top="1985" w:right="1418" w:bottom="1418" w:left="1418" w:header="709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7CEFC" w14:textId="77777777" w:rsidR="0065355E" w:rsidRDefault="0065355E">
      <w:pPr>
        <w:spacing w:line="240" w:lineRule="auto"/>
        <w:ind w:left="0" w:hanging="2"/>
      </w:pPr>
      <w:r>
        <w:separator/>
      </w:r>
    </w:p>
  </w:endnote>
  <w:endnote w:type="continuationSeparator" w:id="0">
    <w:p w14:paraId="6B75658A" w14:textId="77777777" w:rsidR="0065355E" w:rsidRDefault="0065355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5D307" w14:textId="77777777" w:rsidR="00CF5A2E" w:rsidRDefault="002474F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73D06">
      <w:rPr>
        <w:rFonts w:ascii="Calibri" w:eastAsia="Calibri" w:hAnsi="Calibri" w:cs="Calibri"/>
        <w:noProof/>
        <w:color w:val="000000"/>
        <w:sz w:val="22"/>
        <w:szCs w:val="22"/>
      </w:rPr>
      <w:t>4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384D93FA" w14:textId="77777777" w:rsidR="00CF5A2E" w:rsidRDefault="00CF5A2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97CDA" w14:textId="77777777" w:rsidR="0065355E" w:rsidRDefault="0065355E">
      <w:pPr>
        <w:spacing w:line="240" w:lineRule="auto"/>
        <w:ind w:left="0" w:hanging="2"/>
      </w:pPr>
      <w:r>
        <w:separator/>
      </w:r>
    </w:p>
  </w:footnote>
  <w:footnote w:type="continuationSeparator" w:id="0">
    <w:p w14:paraId="3E709CCD" w14:textId="77777777" w:rsidR="0065355E" w:rsidRDefault="0065355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710"/>
    <w:multiLevelType w:val="multilevel"/>
    <w:tmpl w:val="400C7F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B82813"/>
    <w:multiLevelType w:val="multilevel"/>
    <w:tmpl w:val="1B54E15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ECA02C5"/>
    <w:multiLevelType w:val="multilevel"/>
    <w:tmpl w:val="C7EC650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93A7A92"/>
    <w:multiLevelType w:val="hybridMultilevel"/>
    <w:tmpl w:val="29C605CC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C1577B9"/>
    <w:multiLevelType w:val="multilevel"/>
    <w:tmpl w:val="6D4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D2C7F"/>
    <w:multiLevelType w:val="hybridMultilevel"/>
    <w:tmpl w:val="D8D8762E"/>
    <w:lvl w:ilvl="0" w:tplc="BF20BB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4D73"/>
    <w:multiLevelType w:val="hybridMultilevel"/>
    <w:tmpl w:val="028C27C2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6AC4CA3"/>
    <w:multiLevelType w:val="multilevel"/>
    <w:tmpl w:val="A562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D165A"/>
    <w:multiLevelType w:val="hybridMultilevel"/>
    <w:tmpl w:val="82E28858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57A428C"/>
    <w:multiLevelType w:val="multilevel"/>
    <w:tmpl w:val="662C130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5C53F9"/>
    <w:multiLevelType w:val="multilevel"/>
    <w:tmpl w:val="9F6A2966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E533A7E"/>
    <w:multiLevelType w:val="multilevel"/>
    <w:tmpl w:val="74B4BD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2D17D31"/>
    <w:multiLevelType w:val="multilevel"/>
    <w:tmpl w:val="427E4B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98E13F9"/>
    <w:multiLevelType w:val="hybridMultilevel"/>
    <w:tmpl w:val="B23415F4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4C6C15C8"/>
    <w:multiLevelType w:val="hybridMultilevel"/>
    <w:tmpl w:val="39784292"/>
    <w:lvl w:ilvl="0" w:tplc="9D542E58">
      <w:start w:val="2"/>
      <w:numFmt w:val="bullet"/>
      <w:lvlText w:val="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 w15:restartNumberingAfterBreak="0">
    <w:nsid w:val="4D0E4D8B"/>
    <w:multiLevelType w:val="multilevel"/>
    <w:tmpl w:val="28F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7323"/>
    <w:multiLevelType w:val="multilevel"/>
    <w:tmpl w:val="97DAFF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3ED2787"/>
    <w:multiLevelType w:val="hybridMultilevel"/>
    <w:tmpl w:val="5FA47EBC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742D353E"/>
    <w:multiLevelType w:val="multilevel"/>
    <w:tmpl w:val="A32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  <w:num w:numId="14">
    <w:abstractNumId w:val="18"/>
  </w:num>
  <w:num w:numId="15">
    <w:abstractNumId w:val="15"/>
  </w:num>
  <w:num w:numId="16">
    <w:abstractNumId w:val="4"/>
  </w:num>
  <w:num w:numId="17">
    <w:abstractNumId w:val="13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2E"/>
    <w:rsid w:val="00103B63"/>
    <w:rsid w:val="0012344B"/>
    <w:rsid w:val="00232871"/>
    <w:rsid w:val="002474F6"/>
    <w:rsid w:val="002F6C2D"/>
    <w:rsid w:val="004B6A9E"/>
    <w:rsid w:val="005B6BAD"/>
    <w:rsid w:val="0065355E"/>
    <w:rsid w:val="00702835"/>
    <w:rsid w:val="00725546"/>
    <w:rsid w:val="00842FD6"/>
    <w:rsid w:val="008D366E"/>
    <w:rsid w:val="00A9727B"/>
    <w:rsid w:val="00B73D36"/>
    <w:rsid w:val="00C3250E"/>
    <w:rsid w:val="00CF5A2E"/>
    <w:rsid w:val="00DD2FE0"/>
    <w:rsid w:val="00E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322E"/>
  <w15:docId w15:val="{BA2540A7-FA2F-4A83-8ADF-72BCFE92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Futura Bk BT" w:hAnsi="Futura Bk BT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rPr>
      <w:rFonts w:ascii="Calibri" w:eastAsia="Calibri" w:hAnsi="Calibr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Ttulo1Car">
    <w:name w:val="Título 1 C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val="es-MX" w:eastAsia="es-E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character" w:customStyle="1" w:styleId="SangradetextonormalCar">
    <w:name w:val="Sangría de texto normal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2Car">
    <w:name w:val="Título 2 C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character" w:customStyle="1" w:styleId="Ttulo3Car">
    <w:name w:val="Título 3 Car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character" w:customStyle="1" w:styleId="Ttulo4Car">
    <w:name w:val="Título 4 C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Pr>
      <w:rFonts w:ascii="Futura Bk BT" w:eastAsia="Times New Roman" w:hAnsi="Futura Bk BT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paragraph" w:customStyle="1" w:styleId="Normal1">
    <w:name w:val="Normal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en-US"/>
    </w:rPr>
  </w:style>
  <w:style w:type="paragraph" w:customStyle="1" w:styleId="Ttulo11">
    <w:name w:val="Título 11"/>
    <w:basedOn w:val="Normal1"/>
    <w:next w:val="Normal1"/>
    <w:pPr>
      <w:tabs>
        <w:tab w:val="left" w:pos="0"/>
      </w:tabs>
      <w:jc w:val="center"/>
    </w:pPr>
    <w:rPr>
      <w:b/>
      <w:u w:val="single"/>
      <w:lang w:val="es-ES"/>
    </w:rPr>
  </w:style>
  <w:style w:type="paragraph" w:customStyle="1" w:styleId="Sangra2detindependien">
    <w:name w:val="Sangría 2 de t. independien"/>
    <w:basedOn w:val="Normal1"/>
    <w:pPr>
      <w:tabs>
        <w:tab w:val="left" w:pos="-142"/>
        <w:tab w:val="left" w:pos="142"/>
        <w:tab w:val="left" w:pos="1560"/>
      </w:tabs>
      <w:ind w:left="1418" w:hanging="1418"/>
      <w:jc w:val="both"/>
    </w:pPr>
    <w:rPr>
      <w:rFonts w:ascii="Lucida Casual" w:hAnsi="Lucida Casual"/>
      <w:lang w:val="es-ES"/>
    </w:rPr>
  </w:style>
  <w:style w:type="paragraph" w:customStyle="1" w:styleId="Style2">
    <w:name w:val="Style 2"/>
    <w:basedOn w:val="Normal"/>
    <w:pPr>
      <w:widowControl w:val="0"/>
    </w:pPr>
    <w:rPr>
      <w:noProof/>
      <w:color w:val="000000"/>
    </w:rPr>
  </w:style>
  <w:style w:type="character" w:customStyle="1" w:styleId="Style2Car">
    <w:name w:val="Style 2 Car"/>
    <w:rPr>
      <w:rFonts w:ascii="Times New Roman" w:eastAsia="Times New Roman" w:hAnsi="Times New Roman" w:cs="Times New Roman"/>
      <w:noProof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Ttulo61">
    <w:name w:val="Título 61"/>
    <w:basedOn w:val="Normal"/>
    <w:next w:val="Normal"/>
    <w:pPr>
      <w:widowControl w:val="0"/>
    </w:pPr>
    <w:rPr>
      <w:sz w:val="24"/>
      <w:lang w:val="en-U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rmcampos2">
    <w:name w:val="formcampos2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basedOn w:val="Normal"/>
    <w:pPr>
      <w:autoSpaceDE w:val="0"/>
      <w:autoSpaceDN w:val="0"/>
    </w:pPr>
    <w:rPr>
      <w:rFonts w:ascii="Arial" w:eastAsia="Calibri" w:hAnsi="Arial" w:cs="Arial"/>
      <w:sz w:val="24"/>
      <w:szCs w:val="24"/>
      <w:lang w:val="es-CL" w:eastAsia="es-CL"/>
    </w:rPr>
  </w:style>
  <w:style w:type="paragraph" w:styleId="Textonotaalfinal">
    <w:name w:val="endnote text"/>
    <w:basedOn w:val="Normal"/>
    <w:qFormat/>
  </w:style>
  <w:style w:type="character" w:customStyle="1" w:styleId="TextonotaalfinalCar">
    <w:name w:val="Texto nota al final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Textoennegrita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customStyle="1" w:styleId="xmsonormal">
    <w:name w:val="x_msonormal"/>
    <w:basedOn w:val="Normal"/>
    <w:rPr>
      <w:rFonts w:ascii="Calibri" w:eastAsia="Calibri" w:hAnsi="Calibri" w:cs="Calibri"/>
      <w:sz w:val="22"/>
      <w:szCs w:val="22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rcadopublic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barriga@inia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NylEY1HJXHCHx+4jyFLb00q2Q==">CgMxLjA4AHIhMUV4NzBPdVM2M0VYejZpUWZSVVUwLWVscmk2Nkx2TWRP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1626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cyanez</dc:creator>
  <cp:lastModifiedBy>David Barriga</cp:lastModifiedBy>
  <cp:revision>5</cp:revision>
  <dcterms:created xsi:type="dcterms:W3CDTF">2026-03-24T15:26:00Z</dcterms:created>
  <dcterms:modified xsi:type="dcterms:W3CDTF">2026-03-26T15:00:00Z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